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WEB SİTESİ KİŞİSEL VERİLERİN İŞLENMESİNE İLİŞKİN AYDINLATMA METNİ</w:t>
      </w:r>
    </w:p>
    <w:p>
      <w:pPr>
        <w:jc w:val="center"/>
      </w:pPr>
      <w:r>
        <w:rPr>
          <w:b/>
          <w:sz w:val="21"/>
        </w:rPr>
        <w:t>ELİKA BOTANİK SANAYİ TİCARET LİMİTED ŞİRKETİ</w:t>
      </w:r>
    </w:p>
    <w:p>
      <w:pPr>
        <w:jc w:val="center"/>
      </w:pPr>
      <w:r>
        <w:rPr>
          <w:sz w:val="18"/>
        </w:rPr>
        <w:t>https://elika.com.tr  |  info@elika.com.tr</w:t>
      </w:r>
    </w:p>
    <w:p/>
    <w:p>
      <w:r>
        <w:t>İşbu Aydınlatma Metni, 6698 sayılı Kişisel Verilerin Korunması Kanunu (“Kanun”) uyarınca, veri sorumlusu sıfatıyla ELİKA BOTANİK SANAYİ TİCARET LİMİTED ŞİRKETİ (“Şirket” veya “Elika Botanik”) tarafından https://elika.com.tr adresli internet sitesini ziyaret eden, iletişim formunu kullanan, e-bültene kaydolan ve kariyer başvurusunda bulunan ilgili kişilerin kişisel verilerinin işlenmesine ilişkin olarak hazırlanmıştır.</w:t>
      </w:r>
    </w:p>
    <w:p>
      <w:pPr>
        <w:pStyle w:val="Heading1"/>
      </w:pPr>
      <w:r>
        <w:t>1. Veri Sorumlusu</w:t>
      </w:r>
    </w:p>
    <w:p>
      <w:r>
        <w:t>Veri sorumlusu: ELİKA BOTANİK SANAYİ TİCARET LİMİTED ŞİRKETİ</w:t>
      </w:r>
    </w:p>
    <w:p>
      <w:r>
        <w:t>Adres: Arifbey Mah. Zübeyde Hanım Cad. No:110/6, 54580 Arifiye/SAKARYA</w:t>
      </w:r>
    </w:p>
    <w:p>
      <w:r>
        <w:t>E-posta: info@elika.com.tr</w:t>
      </w:r>
    </w:p>
    <w:p>
      <w:r>
        <w:t>İnternet sitesi: https://elika.com.tr</w:t>
      </w:r>
    </w:p>
    <w:p>
      <w:pPr>
        <w:pStyle w:val="Heading1"/>
      </w:pPr>
      <w:r>
        <w:t>2. İşlenen Kişisel Veriler</w:t>
      </w:r>
    </w:p>
    <w:p>
      <w:r>
        <w:t>İnternet sitesini kullanım şeklinize bağlı olarak aşağıdaki kişisel veri kategorileri işlenebilmektedir:</w:t>
      </w:r>
    </w:p>
    <w:tbl>
      <w:tblPr>
        <w:tblStyle w:val="TableGrid"/>
        <w:tblW w:type="auto" w:w="0"/>
        <w:jc w:val="center"/>
        <w:tblLook w:firstColumn="1" w:firstRow="1" w:lastColumn="0" w:lastRow="0" w:noHBand="0" w:noVBand="1" w:val="04A0"/>
      </w:tblPr>
      <w:tblGrid>
        <w:gridCol w:w="4873"/>
        <w:gridCol w:w="4873"/>
      </w:tblGrid>
      <w:tr>
        <w:trPr>
          <w:tblHeader w:val="true"/>
        </w:trPr>
        <w:tc>
          <w:tcPr>
            <w:tcW w:type="dxa" w:w="4873"/>
            <w:shd w:fill="E7E6E6"/>
          </w:tcPr>
          <w:p>
            <w:r>
              <w:rPr>
                <w:b/>
              </w:rPr>
              <w:t>Veri Kategorisi</w:t>
            </w:r>
          </w:p>
        </w:tc>
        <w:tc>
          <w:tcPr>
            <w:tcW w:type="dxa" w:w="4873"/>
            <w:shd w:fill="E7E6E6"/>
          </w:tcPr>
          <w:p>
            <w:r>
              <w:rPr>
                <w:b/>
              </w:rPr>
              <w:t>Örnek Veriler</w:t>
            </w:r>
          </w:p>
        </w:tc>
      </w:tr>
      <w:tr>
        <w:tc>
          <w:tcPr>
            <w:tcW w:type="dxa" w:w="4873"/>
            <w:vAlign w:val="center"/>
          </w:tcPr>
          <w:p>
            <w:r>
              <w:t>Kimlik</w:t>
            </w:r>
          </w:p>
        </w:tc>
        <w:tc>
          <w:tcPr>
            <w:tcW w:type="dxa" w:w="4873"/>
            <w:vAlign w:val="center"/>
          </w:tcPr>
          <w:p>
            <w:r>
              <w:t>Ad, soyad</w:t>
            </w:r>
          </w:p>
        </w:tc>
      </w:tr>
      <w:tr>
        <w:tc>
          <w:tcPr>
            <w:tcW w:type="dxa" w:w="4873"/>
            <w:vAlign w:val="center"/>
          </w:tcPr>
          <w:p>
            <w:r>
              <w:t>İletişim</w:t>
            </w:r>
          </w:p>
        </w:tc>
        <w:tc>
          <w:tcPr>
            <w:tcW w:type="dxa" w:w="4873"/>
            <w:vAlign w:val="center"/>
          </w:tcPr>
          <w:p>
            <w:r>
              <w:t>Telefon numarası, e-posta adresi, iletişim kapsamında paylaşılan adres/iletişim bilgileri</w:t>
            </w:r>
          </w:p>
        </w:tc>
      </w:tr>
      <w:tr>
        <w:tc>
          <w:tcPr>
            <w:tcW w:type="dxa" w:w="4873"/>
            <w:vAlign w:val="center"/>
          </w:tcPr>
          <w:p>
            <w:r>
              <w:t>Talep / İşlem</w:t>
            </w:r>
          </w:p>
        </w:tc>
        <w:tc>
          <w:tcPr>
            <w:tcW w:type="dxa" w:w="4873"/>
            <w:vAlign w:val="center"/>
          </w:tcPr>
          <w:p>
            <w:r>
              <w:t>İletişim formu içeriği, talep, öneri, şikâyet ve yazışma bilgileri</w:t>
            </w:r>
          </w:p>
        </w:tc>
      </w:tr>
      <w:tr>
        <w:tc>
          <w:tcPr>
            <w:tcW w:type="dxa" w:w="4873"/>
            <w:vAlign w:val="center"/>
          </w:tcPr>
          <w:p>
            <w:r>
              <w:t>Pazarlama</w:t>
            </w:r>
          </w:p>
        </w:tc>
        <w:tc>
          <w:tcPr>
            <w:tcW w:type="dxa" w:w="4873"/>
            <w:vAlign w:val="center"/>
          </w:tcPr>
          <w:p>
            <w:r>
              <w:t>E-bülten abonelik bilgisi, ticari ileti tercihleri ve onay/ret kayıtları</w:t>
            </w:r>
          </w:p>
        </w:tc>
      </w:tr>
      <w:tr>
        <w:tc>
          <w:tcPr>
            <w:tcW w:type="dxa" w:w="4873"/>
            <w:vAlign w:val="center"/>
          </w:tcPr>
          <w:p>
            <w:r>
              <w:t>Aday Çalışan</w:t>
            </w:r>
          </w:p>
        </w:tc>
        <w:tc>
          <w:tcPr>
            <w:tcW w:type="dxa" w:w="4873"/>
            <w:vAlign w:val="center"/>
          </w:tcPr>
          <w:p>
            <w:r>
              <w:t>Başvurulan pozisyon, özgeçmiş/CV içeriği, eğitim ve mesleki deneyim bilgileri; kariyer formunda talep edilen diğer bilgiler</w:t>
            </w:r>
          </w:p>
        </w:tc>
      </w:tr>
      <w:tr>
        <w:tc>
          <w:tcPr>
            <w:tcW w:type="dxa" w:w="4873"/>
            <w:vAlign w:val="center"/>
          </w:tcPr>
          <w:p>
            <w:r>
              <w:t>İşlem Güvenliği / Çevrim İçi Tanımlayıcılar</w:t>
            </w:r>
          </w:p>
        </w:tc>
        <w:tc>
          <w:tcPr>
            <w:tcW w:type="dxa" w:w="4873"/>
            <w:vAlign w:val="center"/>
          </w:tcPr>
          <w:p>
            <w:r>
              <w:t>IP adresi, log kayıtları, cihaz ve tarayıcı bilgileri, çerez kimlikleri ve güvenlik kayıtları</w:t>
            </w:r>
          </w:p>
        </w:tc>
      </w:tr>
    </w:tbl>
    <w:p>
      <w:r>
        <w:t>Kariyer başvurusu sırasında özgeçmişinizde açıkça gerekli olmayan özel nitelikli kişisel verileri (örneğin sağlık bilgisi, dinî inanç, biyometrik veri vb.) paylaşmamanızı rica ederiz. Böyle bir verinin paylaşılması hâlinde ilgili veri, yalnızca mevzuatta öngörülen işleme şartları bulunması hâlinde ve gerekli güvenlik tedbirleri alınarak işlenir.</w:t>
      </w:r>
    </w:p>
    <w:p>
      <w:pPr>
        <w:pStyle w:val="Heading1"/>
      </w:pPr>
      <w:r>
        <w:t>3. Kişisel Verilerin İşlenme Amaçları ve Hukuki Sebepleri</w:t>
      </w:r>
    </w:p>
    <w:tbl>
      <w:tblPr>
        <w:tblStyle w:val="TableGrid"/>
        <w:tblW w:type="auto" w:w="0"/>
        <w:jc w:val="center"/>
        <w:tblLook w:firstColumn="1" w:firstRow="1" w:lastColumn="0" w:lastRow="0" w:noHBand="0" w:noVBand="1" w:val="04A0"/>
      </w:tblPr>
      <w:tblGrid>
        <w:gridCol w:w="3249"/>
        <w:gridCol w:w="3249"/>
        <w:gridCol w:w="3249"/>
      </w:tblGrid>
      <w:tr>
        <w:trPr>
          <w:tblHeader w:val="true"/>
        </w:trPr>
        <w:tc>
          <w:tcPr>
            <w:tcW w:type="dxa" w:w="3249"/>
            <w:shd w:fill="E7E6E6"/>
          </w:tcPr>
          <w:p>
            <w:r>
              <w:rPr>
                <w:b/>
              </w:rPr>
              <w:t>İşleme Faaliyeti</w:t>
            </w:r>
          </w:p>
        </w:tc>
        <w:tc>
          <w:tcPr>
            <w:tcW w:type="dxa" w:w="3249"/>
            <w:shd w:fill="E7E6E6"/>
          </w:tcPr>
          <w:p>
            <w:r>
              <w:rPr>
                <w:b/>
              </w:rPr>
              <w:t>Amaç</w:t>
            </w:r>
          </w:p>
        </w:tc>
        <w:tc>
          <w:tcPr>
            <w:tcW w:type="dxa" w:w="3249"/>
            <w:shd w:fill="E7E6E6"/>
          </w:tcPr>
          <w:p>
            <w:r>
              <w:rPr>
                <w:b/>
              </w:rPr>
              <w:t>Başlıca Hukuki Sebep</w:t>
            </w:r>
          </w:p>
        </w:tc>
      </w:tr>
      <w:tr>
        <w:tc>
          <w:tcPr>
            <w:tcW w:type="dxa" w:w="3249"/>
          </w:tcPr>
          <w:p>
            <w:r>
              <w:t>İnternet sitesi ziyareti ve güvenlik kayıtları</w:t>
            </w:r>
          </w:p>
        </w:tc>
        <w:tc>
          <w:tcPr>
            <w:tcW w:type="dxa" w:w="3249"/>
          </w:tcPr>
          <w:p>
            <w:r>
              <w:t>Sitenin güvenli şekilde işletilmesi, kötüye kullanımın önlenmesi, teknik sorunların giderilmesi</w:t>
            </w:r>
          </w:p>
        </w:tc>
        <w:tc>
          <w:tcPr>
            <w:tcW w:type="dxa" w:w="3249"/>
          </w:tcPr>
          <w:p>
            <w:r>
              <w:t>Kanun m.5/2 kapsamında hukuki yükümlülük, sözleşmenin kurulması/ifası veya meşru menfaat şartlarının somut olaya göre uygulanması</w:t>
            </w:r>
          </w:p>
        </w:tc>
      </w:tr>
      <w:tr>
        <w:tc>
          <w:tcPr>
            <w:tcW w:type="dxa" w:w="3249"/>
          </w:tcPr>
          <w:p>
            <w:r>
              <w:t>İletişim formu</w:t>
            </w:r>
          </w:p>
        </w:tc>
        <w:tc>
          <w:tcPr>
            <w:tcW w:type="dxa" w:w="3249"/>
          </w:tcPr>
          <w:p>
            <w:r>
              <w:t>Talep ve soruların alınması, yanıtlanması, teklif ve iş ilişkisi süreçlerinin yürütülmesi</w:t>
            </w:r>
          </w:p>
        </w:tc>
        <w:tc>
          <w:tcPr>
            <w:tcW w:type="dxa" w:w="3249"/>
          </w:tcPr>
          <w:p>
            <w:r>
              <w:t>Kanun m.5/2 kapsamında sözleşmenin kurulması/ifası, hakkın tesisi-kullanılması-korunması veya meşru menfaat</w:t>
            </w:r>
          </w:p>
        </w:tc>
      </w:tr>
      <w:tr>
        <w:tc>
          <w:tcPr>
            <w:tcW w:type="dxa" w:w="3249"/>
          </w:tcPr>
          <w:p>
            <w:r>
              <w:t>E-bülten / tanıtım</w:t>
            </w:r>
          </w:p>
        </w:tc>
        <w:tc>
          <w:tcPr>
            <w:tcW w:type="dxa" w:w="3249"/>
          </w:tcPr>
          <w:p>
            <w:r>
              <w:t>Ürün, hizmet, haber ve kampanyalara ilişkin ticari ileti gönderilmesi</w:t>
            </w:r>
          </w:p>
        </w:tc>
        <w:tc>
          <w:tcPr>
            <w:tcW w:type="dxa" w:w="3249"/>
          </w:tcPr>
          <w:p>
            <w:r>
              <w:t>İlgili mevzuat uyarınca gerekli hâllerde açık rıza ve ticari elektronik ileti onayı</w:t>
            </w:r>
          </w:p>
        </w:tc>
      </w:tr>
      <w:tr>
        <w:tc>
          <w:tcPr>
            <w:tcW w:type="dxa" w:w="3249"/>
          </w:tcPr>
          <w:p>
            <w:r>
              <w:t>Kariyer başvurusu</w:t>
            </w:r>
          </w:p>
        </w:tc>
        <w:tc>
          <w:tcPr>
            <w:tcW w:type="dxa" w:w="3249"/>
          </w:tcPr>
          <w:p>
            <w:r>
              <w:t>Aday değerlendirme, iletişim ve işe alım süreçlerinin yürütülmesi</w:t>
            </w:r>
          </w:p>
        </w:tc>
        <w:tc>
          <w:tcPr>
            <w:tcW w:type="dxa" w:w="3249"/>
          </w:tcPr>
          <w:p>
            <w:r>
              <w:t>Kanun m.5/2 kapsamında meşru menfaat, hakkın tesisi-kullanılması-korunması; açık rıza gereken hâllerde Kanun m.5/1</w:t>
            </w:r>
          </w:p>
        </w:tc>
      </w:tr>
      <w:tr>
        <w:tc>
          <w:tcPr>
            <w:tcW w:type="dxa" w:w="3249"/>
          </w:tcPr>
          <w:p>
            <w:r>
              <w:t>Zorunlu olmayan çerezler</w:t>
            </w:r>
          </w:p>
        </w:tc>
        <w:tc>
          <w:tcPr>
            <w:tcW w:type="dxa" w:w="3249"/>
          </w:tcPr>
          <w:p>
            <w:r>
              <w:t>Tercihlerin hatırlanması, kullanımın ölçülmesi ve analitik/pazarlama faaliyetleri</w:t>
            </w:r>
          </w:p>
        </w:tc>
        <w:tc>
          <w:tcPr>
            <w:tcW w:type="dxa" w:w="3249"/>
          </w:tcPr>
          <w:p>
            <w:r>
              <w:t>Açık rıza gereken çerezler bakımından Kanun m.5/1</w:t>
            </w:r>
          </w:p>
        </w:tc>
      </w:tr>
    </w:tbl>
    <w:p>
      <w:pPr>
        <w:pStyle w:val="Heading1"/>
      </w:pPr>
      <w:r>
        <w:t>4. Kişisel Verilerin Toplanma Yöntemi</w:t>
      </w:r>
    </w:p>
    <w:p>
      <w:r>
        <w:t>Kişisel veriler; internet sitesindeki iletişim, e-bülten ve kariyer başvuru formları; elektronik posta ve diğer iletişim kanalları; internet sitesi sunucu kayıtları; çerezler ve benzeri çevrim içi teknolojiler aracılığıyla tamamen veya kısmen otomatik yöntemlerle ya da bir veri kayıt sisteminin parçası olmak kaydıyla otomatik olmayan yöntemlerle toplanabilmektedir.</w:t>
      </w:r>
    </w:p>
    <w:p>
      <w:pPr>
        <w:pStyle w:val="Heading1"/>
      </w:pPr>
      <w:r>
        <w:t>5. Kişisel Verilerin Aktarılması</w:t>
      </w:r>
    </w:p>
    <w:p>
      <w:r>
        <w:t>Kişisel verileriniz, işleme amaçlarının gerektirdiği ölçüyle sınırlı olmak üzere; bilgi teknolojileri, barındırma/hosting, e-posta, teknik destek, hukuk ve danışmanlık hizmeti sağlayıcıları, yetkili kamu kurum ve kuruluşları ile kanunen yetkili özel kişilere, Kanun’un 8. maddesindeki şartlar çerçevesinde aktarılabilir.</w:t>
      </w:r>
    </w:p>
    <w:p>
      <w:r>
        <w:t>Yurt dışında bulunan hizmet sağlayıcıların veya altyapıların kullanılması nedeniyle kişisel verilerin yurt dışına aktarılmasının söz konusu olması hâlinde, aktarım Kanun’un 9. maddesinde öngörülen güncel aktarım şartları ve uygun güvenceler sağlanarak gerçekleştirilir.</w:t>
      </w:r>
    </w:p>
    <w:p>
      <w:pPr>
        <w:pStyle w:val="Heading1"/>
      </w:pPr>
      <w:r>
        <w:t>6. Saklama Süresi</w:t>
      </w:r>
    </w:p>
    <w:p>
      <w:r>
        <w:t>Kişisel veriler, ilgili işleme amacının gerektirdiği süre ve uygulanabilir mevzuatta öngörülen saklama/zamanaşımı süreleri boyunca muhafaza edilir. İşleme amacı ve hukuki saklama sebebi ortadan kalktığında kişisel veriler, mevzuata uygun yöntemlerle silinir, yok edilir veya anonim hâle getirilir.</w:t>
      </w:r>
    </w:p>
    <w:p>
      <w:pPr>
        <w:pStyle w:val="Heading1"/>
      </w:pPr>
      <w:r>
        <w:t>7. İlgili Kişinin Hakları</w:t>
      </w:r>
    </w:p>
    <w:p>
      <w:r>
        <w:t>Kanun’un 11. maddesi kapsamında, kişisel verilerinizle ilgili olarak;</w:t>
      </w:r>
    </w:p>
    <w:p>
      <w:pPr>
        <w:pStyle w:val="ListBullet"/>
      </w:pPr>
      <w:r>
        <w:t>kişisel verilerinizin işlenip işlenmediğini öğrenme ve işlenmişse buna ilişkin bilgi talep etme,</w:t>
      </w:r>
    </w:p>
    <w:p>
      <w:pPr>
        <w:pStyle w:val="ListBullet"/>
      </w:pPr>
      <w:r>
        <w:t>işlenme amacını ve amaca uygun kullanılıp kullanılmadığını öğrenme,</w:t>
      </w:r>
    </w:p>
    <w:p>
      <w:pPr>
        <w:pStyle w:val="ListBullet"/>
      </w:pPr>
      <w:r>
        <w:t>yurt içinde veya yurt dışında aktarıldığı üçüncü kişileri bilme,</w:t>
      </w:r>
    </w:p>
    <w:p>
      <w:pPr>
        <w:pStyle w:val="ListBullet"/>
      </w:pPr>
      <w:r>
        <w:t>eksik veya yanlış işlenmişse düzeltilmesini isteme,</w:t>
      </w:r>
    </w:p>
    <w:p>
      <w:pPr>
        <w:pStyle w:val="ListBullet"/>
      </w:pPr>
      <w:r>
        <w:t>Kanun’daki şartları varsa silinmesini veya yok edilmesini isteme ve bu işlemlerin verilerin aktarıldığı üçüncü kişilere bildirilmesini talep etme,</w:t>
      </w:r>
    </w:p>
    <w:p>
      <w:pPr>
        <w:pStyle w:val="ListBullet"/>
      </w:pPr>
      <w:r>
        <w:t>münhasıran otomatik sistemlerle analiz sonucu aleyhinize bir sonucun ortaya çıkmasına itiraz etme,</w:t>
      </w:r>
    </w:p>
    <w:p>
      <w:pPr>
        <w:pStyle w:val="ListBullet"/>
      </w:pPr>
      <w:r>
        <w:t>Kanuna aykırı işleme nedeniyle zarara uğramanız hâlinde zararın giderilmesini talep etme</w:t>
      </w:r>
    </w:p>
    <w:p>
      <w:pPr>
        <w:pStyle w:val="Heading1"/>
      </w:pPr>
      <w:r>
        <w:t>8. Başvuru Yöntemi</w:t>
      </w:r>
    </w:p>
    <w:p>
      <w:r>
        <w:t>Kanun kapsamındaki taleplerinizi, Veri Sorumlusuna Başvuru Usul ve Esasları Hakkında Tebliğ’e uygun olarak Arifbey Mah. Zübeyde Hanım Cad. No:110/6, 54580 Arifiye/SAKARYA adresine yazılı şekilde iletebilir; ayrıca info@elika.com.tr adresini, bu e-posta adresinizin daha önce Şirket’e bildirilmiş ve Şirket sisteminde kayıtlı olması hâlinde kullanabilirsiniz. Mevzuatta öngörülen diğer başvuru yöntemleri de saklıdır.</w:t>
      </w:r>
    </w:p>
    <w:p>
      <w:r>
        <w:t>Başvurular, talebin niteliğine göre en kısa sürede ve en geç otuz gün içinde sonuçlandırılır.</w:t>
      </w:r>
    </w:p>
    <w:p>
      <w:pPr>
        <w:pStyle w:val="Heading1"/>
      </w:pPr>
      <w:r>
        <w:t>9. Aydınlatma Metninde Değişiklik</w:t>
      </w:r>
    </w:p>
    <w:p>
      <w:r>
        <w:t>Şirket, kişisel veri işleme faaliyetlerinde veya mevzuatta meydana gelebilecek değişiklikler doğrultusunda bu Aydınlatma Metnini güncelleyebilir. Güncel metin internet sitesinde yayımlandığı tarihten itibaren uygulanır.</w:t>
      </w:r>
    </w:p>
    <w:sectPr w:rsidR="00FC693F" w:rsidRPr="0006063C" w:rsidSect="00034616">
      <w:footerReference w:type="default" r:id="rId9"/>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Elika Botanik | https://elika.com.tr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